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B8F" w:rsidRDefault="00966B8F" w:rsidP="00966B8F">
      <w:pPr>
        <w:pStyle w:val="Iauiue"/>
      </w:pPr>
      <w:bookmarkStart w:id="0" w:name="_GoBack"/>
      <w:bookmarkEnd w:id="0"/>
    </w:p>
    <w:p w:rsidR="00966B8F" w:rsidRPr="00966B8F" w:rsidRDefault="00966B8F" w:rsidP="00966B8F">
      <w:pPr>
        <w:pStyle w:val="Iauiue"/>
        <w:rPr>
          <w:sz w:val="48"/>
          <w:szCs w:val="48"/>
        </w:rPr>
      </w:pPr>
      <w:r w:rsidRPr="00966B8F">
        <w:rPr>
          <w:sz w:val="48"/>
          <w:szCs w:val="48"/>
        </w:rPr>
        <w:t>Преобразовател</w:t>
      </w:r>
      <w:r>
        <w:rPr>
          <w:sz w:val="48"/>
          <w:szCs w:val="48"/>
        </w:rPr>
        <w:t>и</w:t>
      </w:r>
      <w:r w:rsidRPr="00966B8F">
        <w:rPr>
          <w:sz w:val="48"/>
          <w:szCs w:val="48"/>
        </w:rPr>
        <w:t xml:space="preserve"> напряжения</w:t>
      </w:r>
      <w:r>
        <w:rPr>
          <w:sz w:val="48"/>
          <w:szCs w:val="48"/>
        </w:rPr>
        <w:t xml:space="preserve"> Е855</w:t>
      </w:r>
      <w:r w:rsidR="00B14348">
        <w:rPr>
          <w:sz w:val="48"/>
          <w:szCs w:val="48"/>
        </w:rPr>
        <w:t>А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Свидетельства и сертификаты Е855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noProof/>
          <w:color w:val="337AB7"/>
          <w:sz w:val="21"/>
          <w:szCs w:val="21"/>
          <w:lang w:val="ru-RU"/>
        </w:rPr>
        <w:drawing>
          <wp:inline distT="0" distB="0" distL="0" distR="0" wp14:anchorId="7915CD5D" wp14:editId="65FA3F47">
            <wp:extent cx="861060" cy="861060"/>
            <wp:effectExtent l="0" t="0" r="0" b="0"/>
            <wp:docPr id="2" name="Рисунок 2" descr="http://alektogroup.com/assets/cache_image/resources/407/400x400/e855avs-854avs_90x90_1b1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ektogroup.com/assets/cache_image/resources/407/400x400/e855avs-854avs_90x90_1b1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 xml:space="preserve">Свидетельство об утверждении типа средств измерений. RU.C.34.004.A №46190 действительно до 20 апреля 2022 года.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Габариты и масса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>Габаритные размеры (ширина х высота х глубина) - 70х80х77 мм.</w:t>
      </w:r>
      <w:r w:rsidRPr="00966B8F">
        <w:rPr>
          <w:rFonts w:ascii="Arial" w:hAnsi="Arial" w:cs="Arial"/>
          <w:color w:val="333333"/>
          <w:sz w:val="21"/>
          <w:szCs w:val="21"/>
          <w:lang w:val="ru-RU"/>
        </w:rPr>
        <w:br/>
        <w:t xml:space="preserve">Масса не более 0,5 кг.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Гарантийный срок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 xml:space="preserve">Гарантийный срок - 3 года.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Назначение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>Преобразователи данного типа предназначены для линейного преобразования переменного тока частотой 50 Гц в унифицированные выходные сигналы постоянного тока и могут применяться для контроля токов электрических систем и установок, в аппаратуре технической диагностики, для комплексной автоматизации объектов энергетики и различных отраслей промышленности.</w:t>
      </w:r>
      <w:r w:rsidRPr="00966B8F">
        <w:rPr>
          <w:rFonts w:ascii="Arial" w:hAnsi="Arial" w:cs="Arial"/>
          <w:color w:val="333333"/>
          <w:sz w:val="21"/>
          <w:szCs w:val="21"/>
          <w:lang w:val="ru-RU"/>
        </w:rPr>
        <w:br/>
        <w:t xml:space="preserve">Преобразователи изготавливаются в соответствии с требованиями ТУ4227-005-49501860-00.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Описание Е855</w:t>
      </w:r>
    </w:p>
    <w:tbl>
      <w:tblPr>
        <w:tblW w:w="10139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"/>
        <w:gridCol w:w="1050"/>
        <w:gridCol w:w="2264"/>
        <w:gridCol w:w="685"/>
        <w:gridCol w:w="1193"/>
        <w:gridCol w:w="1434"/>
        <w:gridCol w:w="1744"/>
        <w:gridCol w:w="1294"/>
      </w:tblGrid>
      <w:tr w:rsidR="00966B8F" w:rsidRPr="00966B8F" w:rsidTr="00B14348">
        <w:tc>
          <w:tcPr>
            <w:tcW w:w="47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№</w:t>
            </w:r>
          </w:p>
        </w:tc>
        <w:tc>
          <w:tcPr>
            <w:tcW w:w="105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Тип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Диапазон изменения входного сигнала, U</w:t>
            </w:r>
            <w:r w:rsidRPr="00966B8F">
              <w:rPr>
                <w:rFonts w:ascii="Arial" w:hAnsi="Arial" w:cs="Arial"/>
                <w:color w:val="333333"/>
                <w:sz w:val="13"/>
                <w:szCs w:val="13"/>
                <w:vertAlign w:val="subscript"/>
                <w:lang w:val="ru-RU"/>
              </w:rPr>
              <w:t>вх.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, В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I </w:t>
            </w:r>
            <w:r w:rsidRPr="00966B8F">
              <w:rPr>
                <w:rFonts w:ascii="Arial" w:hAnsi="Arial" w:cs="Arial"/>
                <w:color w:val="333333"/>
                <w:sz w:val="13"/>
                <w:szCs w:val="13"/>
                <w:vertAlign w:val="subscript"/>
                <w:lang w:val="ru-RU"/>
              </w:rPr>
              <w:t>вых.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, мА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Р</w:t>
            </w:r>
            <w:r w:rsidRPr="00966B8F">
              <w:rPr>
                <w:rFonts w:ascii="Arial" w:hAnsi="Arial" w:cs="Arial"/>
                <w:color w:val="333333"/>
                <w:sz w:val="13"/>
                <w:szCs w:val="13"/>
                <w:vertAlign w:val="subscript"/>
                <w:lang w:val="ru-RU"/>
              </w:rPr>
              <w:t>потр.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 xml:space="preserve"> по изм. цепи, ВА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Р</w:t>
            </w:r>
            <w:r w:rsidRPr="00966B8F">
              <w:rPr>
                <w:rFonts w:ascii="Arial" w:hAnsi="Arial" w:cs="Arial"/>
                <w:color w:val="333333"/>
                <w:sz w:val="13"/>
                <w:szCs w:val="13"/>
                <w:vertAlign w:val="subscript"/>
                <w:lang w:val="ru-RU"/>
              </w:rPr>
              <w:t>потр.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 xml:space="preserve"> по цепи питания,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br/>
              <w:t>ВА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Сопро- тивление нагрузки, Ом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Класс точности</w:t>
            </w:r>
          </w:p>
        </w:tc>
      </w:tr>
      <w:tr w:rsidR="00966B8F" w:rsidRPr="00966B8F" w:rsidTr="00966B8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Е855А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0..125; 75..125</w:t>
            </w:r>
          </w:p>
        </w:tc>
        <w:tc>
          <w:tcPr>
            <w:tcW w:w="0" w:type="auto"/>
            <w:vMerge w:val="restart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0..5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0,2</w:t>
            </w:r>
          </w:p>
        </w:tc>
        <w:tc>
          <w:tcPr>
            <w:tcW w:w="0" w:type="auto"/>
            <w:vMerge w:val="restart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не более 1</w:t>
            </w:r>
          </w:p>
        </w:tc>
        <w:tc>
          <w:tcPr>
            <w:tcW w:w="0" w:type="auto"/>
            <w:vMerge w:val="restart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0..3000</w:t>
            </w:r>
          </w:p>
        </w:tc>
        <w:tc>
          <w:tcPr>
            <w:tcW w:w="0" w:type="auto"/>
            <w:vMerge w:val="restart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0,5</w:t>
            </w:r>
          </w:p>
        </w:tc>
      </w:tr>
      <w:tr w:rsidR="00966B8F" w:rsidRPr="00966B8F" w:rsidTr="00966B8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0..250; 150..250</w:t>
            </w:r>
          </w:p>
        </w:tc>
        <w:tc>
          <w:tcPr>
            <w:tcW w:w="0" w:type="auto"/>
            <w:vMerge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0,4</w:t>
            </w:r>
          </w:p>
        </w:tc>
        <w:tc>
          <w:tcPr>
            <w:tcW w:w="0" w:type="auto"/>
            <w:vMerge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</w:p>
        </w:tc>
      </w:tr>
    </w:tbl>
    <w:p w:rsidR="00B14348" w:rsidRDefault="00B14348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</w:p>
    <w:p w:rsidR="00B14348" w:rsidRDefault="00B14348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</w:p>
    <w:p w:rsidR="00B14348" w:rsidRDefault="00B14348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</w:p>
    <w:p w:rsidR="00B14348" w:rsidRDefault="00B14348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</w:p>
    <w:p w:rsidR="00B14348" w:rsidRPr="00966B8F" w:rsidRDefault="00B14348" w:rsidP="00B14348">
      <w:pPr>
        <w:pStyle w:val="Iauiue"/>
        <w:rPr>
          <w:sz w:val="48"/>
          <w:szCs w:val="48"/>
        </w:rPr>
      </w:pPr>
      <w:r w:rsidRPr="00966B8F">
        <w:rPr>
          <w:sz w:val="48"/>
          <w:szCs w:val="48"/>
        </w:rPr>
        <w:lastRenderedPageBreak/>
        <w:t>Преобразовател</w:t>
      </w:r>
      <w:r>
        <w:rPr>
          <w:sz w:val="48"/>
          <w:szCs w:val="48"/>
        </w:rPr>
        <w:t>и</w:t>
      </w:r>
      <w:r w:rsidRPr="00966B8F">
        <w:rPr>
          <w:sz w:val="48"/>
          <w:szCs w:val="48"/>
        </w:rPr>
        <w:t xml:space="preserve"> напряжения</w:t>
      </w:r>
      <w:r>
        <w:rPr>
          <w:sz w:val="48"/>
          <w:szCs w:val="48"/>
        </w:rPr>
        <w:t xml:space="preserve"> Е842А</w:t>
      </w:r>
    </w:p>
    <w:p w:rsidR="00B14348" w:rsidRDefault="00B14348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Свидетельства и сертификаты Е842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noProof/>
          <w:color w:val="337AB7"/>
          <w:sz w:val="21"/>
          <w:szCs w:val="21"/>
          <w:lang w:val="ru-RU"/>
        </w:rPr>
        <w:drawing>
          <wp:inline distT="0" distB="0" distL="0" distR="0" wp14:anchorId="6E23033B" wp14:editId="625501CA">
            <wp:extent cx="861060" cy="861060"/>
            <wp:effectExtent l="0" t="0" r="0" b="0"/>
            <wp:docPr id="5" name="Рисунок 5" descr="http://alektogroup.com/assets/cache_image/resources/407/400x400/e842as_90x90_1b1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lektogroup.com/assets/cache_image/resources/407/400x400/e842as_90x90_1b1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 xml:space="preserve">Свидетельство об утверждении типа средства измерения RU.C.34.004.A №46189 действителено до 17 февраля 2017 года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Габариты и масса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>Габаритные размеры (ширина х высота х глубина) - 70х80х77 мм.</w:t>
      </w:r>
      <w:r w:rsidRPr="00966B8F">
        <w:rPr>
          <w:rFonts w:ascii="Arial" w:hAnsi="Arial" w:cs="Arial"/>
          <w:color w:val="333333"/>
          <w:sz w:val="21"/>
          <w:szCs w:val="21"/>
          <w:lang w:val="ru-RU"/>
        </w:rPr>
        <w:br/>
        <w:t xml:space="preserve">Масса не более 0,3 кг.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Гарантийный срок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 xml:space="preserve">Гарантийный срок - 3 года.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Назначение</w:t>
      </w:r>
    </w:p>
    <w:p w:rsidR="00966B8F" w:rsidRPr="00966B8F" w:rsidRDefault="00966B8F" w:rsidP="00966B8F">
      <w:pPr>
        <w:overflowPunct/>
        <w:autoSpaceDE/>
        <w:autoSpaceDN/>
        <w:adjustRightInd/>
        <w:textAlignment w:val="auto"/>
        <w:rPr>
          <w:rFonts w:ascii="Arial" w:hAnsi="Arial" w:cs="Arial"/>
          <w:color w:val="333333"/>
          <w:sz w:val="21"/>
          <w:szCs w:val="21"/>
          <w:lang w:val="ru-RU"/>
        </w:rPr>
      </w:pPr>
      <w:r w:rsidRPr="00966B8F">
        <w:rPr>
          <w:rFonts w:ascii="Arial" w:hAnsi="Arial" w:cs="Arial"/>
          <w:color w:val="333333"/>
          <w:sz w:val="21"/>
          <w:szCs w:val="21"/>
          <w:lang w:val="ru-RU"/>
        </w:rPr>
        <w:t>Преобразователи данного типа предназначены для линейного преобразования переменного тока частотой 50 Гц в унифицированные выходные сигналы постоянного тока и могут применяться для контроля токов электрических систем и установок, в аппаратуре технической диагностики, для комплексной автоматизации объектов энергетики и различных отраслей промышленности.</w:t>
      </w:r>
      <w:r w:rsidRPr="00966B8F">
        <w:rPr>
          <w:rFonts w:ascii="Arial" w:hAnsi="Arial" w:cs="Arial"/>
          <w:color w:val="333333"/>
          <w:sz w:val="21"/>
          <w:szCs w:val="21"/>
          <w:lang w:val="ru-RU"/>
        </w:rPr>
        <w:br/>
      </w:r>
      <w:r w:rsidRPr="00966B8F">
        <w:rPr>
          <w:rFonts w:ascii="Arial" w:hAnsi="Arial" w:cs="Arial"/>
          <w:color w:val="333333"/>
          <w:sz w:val="21"/>
          <w:szCs w:val="21"/>
          <w:lang w:val="ru-RU"/>
        </w:rPr>
        <w:br/>
        <w:t xml:space="preserve">Преобразователи изготавливаются в соответствии с требованиями ТУ4227-007-49501860-00. </w:t>
      </w:r>
    </w:p>
    <w:p w:rsidR="00966B8F" w:rsidRPr="00966B8F" w:rsidRDefault="00966B8F" w:rsidP="00966B8F">
      <w:pPr>
        <w:overflowPunct/>
        <w:autoSpaceDE/>
        <w:autoSpaceDN/>
        <w:adjustRightInd/>
        <w:spacing w:before="330" w:after="165" w:line="387" w:lineRule="atLeast"/>
        <w:textAlignment w:val="auto"/>
        <w:outlineLvl w:val="1"/>
        <w:rPr>
          <w:rFonts w:ascii="Arial" w:hAnsi="Arial" w:cs="Arial"/>
          <w:color w:val="666666"/>
          <w:sz w:val="32"/>
          <w:szCs w:val="32"/>
          <w:lang w:val="ru-RU"/>
        </w:rPr>
      </w:pPr>
      <w:r w:rsidRPr="00966B8F">
        <w:rPr>
          <w:rFonts w:ascii="Arial" w:hAnsi="Arial" w:cs="Arial"/>
          <w:color w:val="666666"/>
          <w:sz w:val="32"/>
          <w:szCs w:val="32"/>
          <w:lang w:val="ru-RU"/>
        </w:rPr>
        <w:t>Описание Е842</w:t>
      </w:r>
    </w:p>
    <w:tbl>
      <w:tblPr>
        <w:tblW w:w="10139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889"/>
        <w:gridCol w:w="771"/>
        <w:gridCol w:w="868"/>
        <w:gridCol w:w="2274"/>
        <w:gridCol w:w="3111"/>
        <w:gridCol w:w="1756"/>
      </w:tblGrid>
      <w:tr w:rsidR="00966B8F" w:rsidRPr="00966B8F" w:rsidTr="00966B8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Тип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I</w:t>
            </w:r>
            <w:r w:rsidRPr="00966B8F">
              <w:rPr>
                <w:rFonts w:ascii="Arial" w:hAnsi="Arial" w:cs="Arial"/>
                <w:color w:val="333333"/>
                <w:sz w:val="13"/>
                <w:szCs w:val="13"/>
                <w:vertAlign w:val="subscript"/>
                <w:lang w:val="ru-RU"/>
              </w:rPr>
              <w:t>вх.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, 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I</w:t>
            </w:r>
            <w:r w:rsidRPr="00966B8F">
              <w:rPr>
                <w:rFonts w:ascii="Arial" w:hAnsi="Arial" w:cs="Arial"/>
                <w:color w:val="333333"/>
                <w:sz w:val="13"/>
                <w:szCs w:val="13"/>
                <w:vertAlign w:val="subscript"/>
                <w:lang w:val="ru-RU"/>
              </w:rPr>
              <w:t>вых.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, мА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Р</w:t>
            </w:r>
            <w:r w:rsidRPr="00966B8F">
              <w:rPr>
                <w:rFonts w:ascii="Arial" w:hAnsi="Arial" w:cs="Arial"/>
                <w:color w:val="333333"/>
                <w:sz w:val="13"/>
                <w:szCs w:val="13"/>
                <w:vertAlign w:val="subscript"/>
                <w:lang w:val="ru-RU"/>
              </w:rPr>
              <w:t>потр.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 xml:space="preserve"> по изм. цепи, ВА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Сопротивление нагрузки, Ом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Класс точности</w:t>
            </w:r>
          </w:p>
        </w:tc>
      </w:tr>
      <w:tr w:rsidR="00966B8F" w:rsidRPr="00966B8F" w:rsidTr="00966B8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Е842А</w:t>
            </w:r>
          </w:p>
        </w:tc>
        <w:tc>
          <w:tcPr>
            <w:tcW w:w="0" w:type="auto"/>
            <w:vMerge w:val="restart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0..0,5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br/>
              <w:t>0..1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br/>
              <w:t>0..2,5</w:t>
            </w: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br/>
              <w:t>0..5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0..5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не более 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 – 2500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1</w:t>
            </w:r>
          </w:p>
        </w:tc>
      </w:tr>
      <w:tr w:rsidR="00966B8F" w:rsidRPr="00966B8F" w:rsidTr="00966B8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Е842С</w:t>
            </w:r>
          </w:p>
        </w:tc>
        <w:tc>
          <w:tcPr>
            <w:tcW w:w="0" w:type="auto"/>
            <w:vMerge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0..20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не более 1,5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 – 500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66B8F" w:rsidRPr="00966B8F" w:rsidRDefault="00966B8F" w:rsidP="00966B8F">
            <w:pPr>
              <w:overflowPunct/>
              <w:autoSpaceDE/>
              <w:autoSpaceDN/>
              <w:adjustRightInd/>
              <w:spacing w:after="315" w:line="330" w:lineRule="atLeast"/>
              <w:jc w:val="center"/>
              <w:textAlignment w:val="auto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 w:rsidRPr="00966B8F"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0,5</w:t>
            </w:r>
          </w:p>
        </w:tc>
      </w:tr>
    </w:tbl>
    <w:p w:rsidR="00966B8F" w:rsidRDefault="00966B8F" w:rsidP="00966B8F">
      <w:pPr>
        <w:pStyle w:val="Iauiue"/>
      </w:pPr>
    </w:p>
    <w:p w:rsidR="00966B8F" w:rsidRDefault="00966B8F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B14348" w:rsidRDefault="00B14348" w:rsidP="00966B8F">
      <w:pPr>
        <w:pStyle w:val="Iauiue"/>
      </w:pPr>
    </w:p>
    <w:p w:rsidR="002C670A" w:rsidRPr="009542A0" w:rsidRDefault="002C670A" w:rsidP="002C670A">
      <w:pPr>
        <w:pBdr>
          <w:bottom w:val="single" w:sz="6" w:space="1" w:color="607D8B"/>
        </w:pBdr>
        <w:overflowPunct/>
        <w:autoSpaceDE/>
        <w:autoSpaceDN/>
        <w:adjustRightInd/>
        <w:spacing w:after="150"/>
        <w:textAlignment w:val="auto"/>
        <w:outlineLvl w:val="0"/>
        <w:rPr>
          <w:rFonts w:ascii="Helvetica" w:hAnsi="Helvetica"/>
          <w:kern w:val="36"/>
          <w:sz w:val="42"/>
          <w:szCs w:val="42"/>
          <w:lang w:val="ru-RU"/>
        </w:rPr>
      </w:pPr>
      <w:r w:rsidRPr="009542A0">
        <w:rPr>
          <w:rFonts w:ascii="Helvetica" w:hAnsi="Helvetica"/>
          <w:kern w:val="36"/>
          <w:sz w:val="42"/>
          <w:szCs w:val="42"/>
          <w:lang w:val="ru-RU"/>
        </w:rPr>
        <w:lastRenderedPageBreak/>
        <w:t>УСПИ «Исеть 2»</w:t>
      </w:r>
    </w:p>
    <w:p w:rsidR="002C670A" w:rsidRPr="009542A0" w:rsidRDefault="002C670A" w:rsidP="002C670A">
      <w:pPr>
        <w:overflowPunct/>
        <w:autoSpaceDE/>
        <w:autoSpaceDN/>
        <w:adjustRightInd/>
        <w:jc w:val="center"/>
        <w:textAlignment w:val="auto"/>
        <w:rPr>
          <w:rFonts w:ascii="Helvetica" w:hAnsi="Helvetica"/>
          <w:sz w:val="21"/>
          <w:szCs w:val="21"/>
          <w:lang w:val="ru-RU"/>
        </w:rPr>
      </w:pPr>
      <w:r w:rsidRPr="0063505B">
        <w:rPr>
          <w:rFonts w:ascii="Helvetica" w:hAnsi="Helvetica"/>
          <w:noProof/>
          <w:sz w:val="21"/>
          <w:szCs w:val="21"/>
          <w:lang w:val="ru-RU"/>
        </w:rPr>
        <w:drawing>
          <wp:inline distT="0" distB="0" distL="0" distR="0" wp14:anchorId="4D7303DE" wp14:editId="506836D6">
            <wp:extent cx="3329940" cy="2217420"/>
            <wp:effectExtent l="0" t="0" r="3810" b="0"/>
            <wp:docPr id="3" name="Рисунок 3" descr="Настенный шкаф УСПИ «Исеть 2» с открытой дверцей">
              <a:hlinkClick xmlns:a="http://schemas.openxmlformats.org/drawingml/2006/main" r:id="rId11" tooltip="&quot;Настенный шкаф УСПИ «Исеть 2» с открытой дверцей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тенный шкаф УСПИ «Исеть 2» с открытой дверцей">
                      <a:hlinkClick r:id="rId11" tooltip="&quot;Настенный шкаф УСПИ «Исеть 2» с открытой дверцей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70A" w:rsidRPr="009542A0" w:rsidRDefault="002C670A" w:rsidP="002C670A">
      <w:pPr>
        <w:overflowPunct/>
        <w:autoSpaceDE/>
        <w:autoSpaceDN/>
        <w:adjustRightInd/>
        <w:spacing w:line="270" w:lineRule="atLeast"/>
        <w:jc w:val="center"/>
        <w:textAlignment w:val="auto"/>
        <w:rPr>
          <w:rFonts w:ascii="Helvetica" w:hAnsi="Helvetica"/>
          <w:sz w:val="18"/>
          <w:szCs w:val="18"/>
          <w:lang w:val="ru-RU"/>
        </w:rPr>
      </w:pPr>
      <w:r w:rsidRPr="009542A0">
        <w:rPr>
          <w:rFonts w:ascii="Helvetica" w:hAnsi="Helvetica"/>
          <w:sz w:val="18"/>
          <w:szCs w:val="18"/>
          <w:lang w:val="ru-RU"/>
        </w:rPr>
        <w:t>Настенный шкаф УСПИ «Исеть 2»</w:t>
      </w:r>
      <w:r w:rsidRPr="009542A0">
        <w:rPr>
          <w:rFonts w:ascii="Helvetica" w:hAnsi="Helvetica"/>
          <w:sz w:val="18"/>
          <w:szCs w:val="18"/>
          <w:lang w:val="ru-RU"/>
        </w:rPr>
        <w:br/>
        <w:t>с открытой дверцей</w:t>
      </w:r>
    </w:p>
    <w:p w:rsidR="002C670A" w:rsidRPr="009542A0" w:rsidRDefault="002C670A" w:rsidP="002C670A">
      <w:pPr>
        <w:overflowPunct/>
        <w:autoSpaceDE/>
        <w:autoSpaceDN/>
        <w:adjustRightInd/>
        <w:spacing w:line="315" w:lineRule="atLeast"/>
        <w:textAlignment w:val="auto"/>
        <w:rPr>
          <w:rFonts w:ascii="Helvetica" w:hAnsi="Helvetica"/>
          <w:sz w:val="21"/>
          <w:szCs w:val="21"/>
          <w:lang w:val="ru-RU"/>
        </w:rPr>
      </w:pPr>
      <w:r w:rsidRPr="009542A0">
        <w:rPr>
          <w:rFonts w:ascii="Helvetica" w:hAnsi="Helvetica"/>
          <w:sz w:val="21"/>
          <w:szCs w:val="21"/>
          <w:lang w:val="ru-RU"/>
        </w:rPr>
        <w:t>Устройство сбора и передачи информации (УСПИ) «Исеть 2» предназначено для сбора телемеханической информации и передачи её на пункт управления (ПУ), оснащенный программным обеспечением </w:t>
      </w:r>
      <w:hyperlink r:id="rId13" w:history="1">
        <w:r w:rsidRPr="0063505B">
          <w:rPr>
            <w:rFonts w:ascii="Helvetica" w:hAnsi="Helvetica"/>
            <w:sz w:val="21"/>
            <w:szCs w:val="21"/>
            <w:u w:val="single"/>
            <w:lang w:val="ru-RU"/>
          </w:rPr>
          <w:t>«ОИК Диспетчер НТ»</w:t>
        </w:r>
      </w:hyperlink>
      <w:r w:rsidRPr="009542A0">
        <w:rPr>
          <w:rFonts w:ascii="Helvetica" w:hAnsi="Helvetica"/>
          <w:sz w:val="21"/>
          <w:szCs w:val="21"/>
          <w:lang w:val="ru-RU"/>
        </w:rPr>
        <w:t> или другим, совместимым со стандартами ГОСТ Р МЭК 60870-5-101/104, а также для приема и исполнения команд телеуправления от ПУ.</w:t>
      </w:r>
    </w:p>
    <w:p w:rsidR="002C670A" w:rsidRPr="009542A0" w:rsidRDefault="002C670A" w:rsidP="002C670A">
      <w:pPr>
        <w:overflowPunct/>
        <w:autoSpaceDE/>
        <w:autoSpaceDN/>
        <w:adjustRightInd/>
        <w:spacing w:before="300" w:after="150"/>
        <w:textAlignment w:val="auto"/>
        <w:outlineLvl w:val="2"/>
        <w:rPr>
          <w:rFonts w:ascii="Helvetica" w:hAnsi="Helvetica"/>
          <w:sz w:val="27"/>
          <w:szCs w:val="27"/>
          <w:lang w:val="ru-RU"/>
        </w:rPr>
      </w:pPr>
      <w:r w:rsidRPr="009542A0">
        <w:rPr>
          <w:rFonts w:ascii="Helvetica" w:hAnsi="Helvetica"/>
          <w:sz w:val="27"/>
          <w:szCs w:val="27"/>
          <w:lang w:val="ru-RU"/>
        </w:rPr>
        <w:t>УСПИ «Исеть 2» обеспечивает</w:t>
      </w:r>
    </w:p>
    <w:p w:rsidR="002C670A" w:rsidRPr="009542A0" w:rsidRDefault="002C670A" w:rsidP="002C670A">
      <w:pPr>
        <w:numPr>
          <w:ilvl w:val="0"/>
          <w:numId w:val="4"/>
        </w:numPr>
        <w:overflowPunct/>
        <w:autoSpaceDE/>
        <w:autoSpaceDN/>
        <w:adjustRightInd/>
        <w:spacing w:after="75"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9542A0">
        <w:rPr>
          <w:rFonts w:ascii="Helvetica" w:hAnsi="Helvetica"/>
          <w:sz w:val="21"/>
          <w:szCs w:val="21"/>
          <w:lang w:val="ru-RU"/>
        </w:rPr>
        <w:t>сбор, обработку и хранение информации о состоянии датчиков дискретных сигналов;</w:t>
      </w:r>
    </w:p>
    <w:p w:rsidR="002C670A" w:rsidRPr="009542A0" w:rsidRDefault="002C670A" w:rsidP="002C670A">
      <w:pPr>
        <w:numPr>
          <w:ilvl w:val="0"/>
          <w:numId w:val="4"/>
        </w:numPr>
        <w:overflowPunct/>
        <w:autoSpaceDE/>
        <w:autoSpaceDN/>
        <w:adjustRightInd/>
        <w:spacing w:after="75"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9542A0">
        <w:rPr>
          <w:rFonts w:ascii="Helvetica" w:hAnsi="Helvetica"/>
          <w:sz w:val="21"/>
          <w:szCs w:val="21"/>
          <w:lang w:val="ru-RU"/>
        </w:rPr>
        <w:t>сбор, обработку и хранение информации сигналов (ТС) и измерений (ТИ) от цифровых устройств (датчиков, устройств защиты и автоматики) по физическим каналам Ethernet, RS-232 и RS-485;</w:t>
      </w:r>
    </w:p>
    <w:p w:rsidR="002C670A" w:rsidRPr="009542A0" w:rsidRDefault="002C670A" w:rsidP="002C670A">
      <w:pPr>
        <w:numPr>
          <w:ilvl w:val="0"/>
          <w:numId w:val="4"/>
        </w:numPr>
        <w:overflowPunct/>
        <w:autoSpaceDE/>
        <w:autoSpaceDN/>
        <w:adjustRightInd/>
        <w:spacing w:after="75"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9542A0">
        <w:rPr>
          <w:rFonts w:ascii="Helvetica" w:hAnsi="Helvetica"/>
          <w:sz w:val="21"/>
          <w:szCs w:val="21"/>
          <w:lang w:val="ru-RU"/>
        </w:rPr>
        <w:t>выдачу команд телеуправления (ТУ);</w:t>
      </w:r>
    </w:p>
    <w:p w:rsidR="002C670A" w:rsidRPr="009542A0" w:rsidRDefault="002C670A" w:rsidP="002C670A">
      <w:pPr>
        <w:numPr>
          <w:ilvl w:val="0"/>
          <w:numId w:val="4"/>
        </w:numPr>
        <w:overflowPunct/>
        <w:autoSpaceDE/>
        <w:autoSpaceDN/>
        <w:adjustRightInd/>
        <w:spacing w:after="75"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9542A0">
        <w:rPr>
          <w:rFonts w:ascii="Helvetica" w:hAnsi="Helvetica"/>
          <w:sz w:val="21"/>
          <w:szCs w:val="21"/>
          <w:lang w:val="ru-RU"/>
        </w:rPr>
        <w:t>оперативный контроль режимов работы оборудования;</w:t>
      </w:r>
    </w:p>
    <w:p w:rsidR="002C670A" w:rsidRPr="009542A0" w:rsidRDefault="002C670A" w:rsidP="002C670A">
      <w:pPr>
        <w:numPr>
          <w:ilvl w:val="0"/>
          <w:numId w:val="4"/>
        </w:numPr>
        <w:overflowPunct/>
        <w:autoSpaceDE/>
        <w:autoSpaceDN/>
        <w:adjustRightInd/>
        <w:spacing w:after="75"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9542A0">
        <w:rPr>
          <w:rFonts w:ascii="Helvetica" w:hAnsi="Helvetica"/>
          <w:sz w:val="21"/>
          <w:szCs w:val="21"/>
          <w:lang w:val="ru-RU"/>
        </w:rPr>
        <w:t>передачу принятой информации на верхний уровень по каналам связи Ethernet, RS-232, RS-485;</w:t>
      </w:r>
    </w:p>
    <w:p w:rsidR="002C670A" w:rsidRPr="009542A0" w:rsidRDefault="002C670A" w:rsidP="002C670A">
      <w:pPr>
        <w:numPr>
          <w:ilvl w:val="0"/>
          <w:numId w:val="4"/>
        </w:numPr>
        <w:overflowPunct/>
        <w:autoSpaceDE/>
        <w:autoSpaceDN/>
        <w:adjustRightInd/>
        <w:spacing w:after="75"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9542A0">
        <w:rPr>
          <w:rFonts w:ascii="Helvetica" w:hAnsi="Helvetica"/>
          <w:sz w:val="21"/>
          <w:szCs w:val="21"/>
          <w:lang w:val="ru-RU"/>
        </w:rPr>
        <w:t>возможность создания АРМ оперативного персонала непосредственно на объекте.</w:t>
      </w:r>
    </w:p>
    <w:p w:rsidR="002C670A" w:rsidRPr="0063505B" w:rsidRDefault="002C670A" w:rsidP="00B14348">
      <w:pPr>
        <w:pBdr>
          <w:bottom w:val="single" w:sz="6" w:space="1" w:color="E0E0E0"/>
        </w:pBdr>
        <w:shd w:val="clear" w:color="auto" w:fill="FFFFFF"/>
        <w:overflowPunct/>
        <w:autoSpaceDE/>
        <w:autoSpaceDN/>
        <w:adjustRightInd/>
        <w:spacing w:before="300" w:after="150"/>
        <w:textAlignment w:val="auto"/>
        <w:outlineLvl w:val="1"/>
        <w:rPr>
          <w:rFonts w:asciiTheme="minorHAnsi" w:hAnsiTheme="minorHAnsi"/>
          <w:sz w:val="36"/>
          <w:szCs w:val="36"/>
          <w:lang w:val="ru-RU"/>
        </w:rPr>
      </w:pPr>
    </w:p>
    <w:p w:rsidR="00B14348" w:rsidRPr="00B14348" w:rsidRDefault="00B14348" w:rsidP="00B14348">
      <w:pPr>
        <w:pBdr>
          <w:bottom w:val="single" w:sz="6" w:space="1" w:color="E0E0E0"/>
        </w:pBdr>
        <w:shd w:val="clear" w:color="auto" w:fill="FFFFFF"/>
        <w:overflowPunct/>
        <w:autoSpaceDE/>
        <w:autoSpaceDN/>
        <w:adjustRightInd/>
        <w:spacing w:before="300" w:after="150"/>
        <w:textAlignment w:val="auto"/>
        <w:outlineLvl w:val="1"/>
        <w:rPr>
          <w:rFonts w:ascii="Helvetica" w:hAnsi="Helvetica"/>
          <w:sz w:val="36"/>
          <w:szCs w:val="36"/>
          <w:lang w:val="ru-RU"/>
        </w:rPr>
      </w:pPr>
      <w:r w:rsidRPr="00B14348">
        <w:rPr>
          <w:rFonts w:ascii="Helvetica" w:hAnsi="Helvetica"/>
          <w:sz w:val="36"/>
          <w:szCs w:val="36"/>
          <w:lang w:val="ru-RU"/>
        </w:rPr>
        <w:t>Основные подсистемы комплекса</w:t>
      </w:r>
    </w:p>
    <w:p w:rsidR="00B14348" w:rsidRPr="00B14348" w:rsidRDefault="00692A7B" w:rsidP="00B14348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spacing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hyperlink r:id="rId14" w:history="1">
        <w:r w:rsidR="00B14348" w:rsidRPr="00B14348">
          <w:rPr>
            <w:rFonts w:ascii="Helvetica" w:hAnsi="Helvetica"/>
            <w:sz w:val="21"/>
            <w:szCs w:val="21"/>
            <w:u w:val="single"/>
            <w:lang w:val="ru-RU"/>
          </w:rPr>
          <w:t>Программное обеспечение «ОИК Диспетчер НТ» (ARIS SCADA)</w:t>
        </w:r>
      </w:hyperlink>
      <w:r w:rsidR="00B14348" w:rsidRPr="00B14348">
        <w:rPr>
          <w:rFonts w:ascii="Helvetica" w:hAnsi="Helvetica"/>
          <w:sz w:val="21"/>
          <w:szCs w:val="21"/>
          <w:lang w:val="ru-RU"/>
        </w:rPr>
        <w:t>:</w:t>
      </w:r>
    </w:p>
    <w:p w:rsidR="00B14348" w:rsidRPr="00B14348" w:rsidRDefault="00692A7B" w:rsidP="00B14348">
      <w:pPr>
        <w:numPr>
          <w:ilvl w:val="1"/>
          <w:numId w:val="2"/>
        </w:numPr>
        <w:shd w:val="clear" w:color="auto" w:fill="FFFFFF"/>
        <w:overflowPunct/>
        <w:autoSpaceDE/>
        <w:autoSpaceDN/>
        <w:adjustRightInd/>
        <w:spacing w:line="315" w:lineRule="atLeast"/>
        <w:ind w:left="450"/>
        <w:textAlignment w:val="auto"/>
        <w:rPr>
          <w:rFonts w:ascii="Helvetica" w:hAnsi="Helvetica"/>
          <w:sz w:val="21"/>
          <w:szCs w:val="21"/>
          <w:lang w:val="ru-RU"/>
        </w:rPr>
      </w:pPr>
      <w:hyperlink r:id="rId15" w:history="1">
        <w:r w:rsidR="00B14348" w:rsidRPr="00B14348">
          <w:rPr>
            <w:rFonts w:ascii="Helvetica" w:hAnsi="Helvetica"/>
            <w:sz w:val="21"/>
            <w:szCs w:val="21"/>
            <w:u w:val="single"/>
            <w:lang w:val="ru-RU"/>
          </w:rPr>
          <w:t>Программное обеспечение сервера</w:t>
        </w:r>
      </w:hyperlink>
      <w:r w:rsidR="00B14348" w:rsidRPr="00B14348">
        <w:rPr>
          <w:rFonts w:ascii="Helvetica" w:hAnsi="Helvetica"/>
          <w:sz w:val="21"/>
          <w:szCs w:val="21"/>
          <w:lang w:val="ru-RU"/>
        </w:rPr>
        <w:t>,</w:t>
      </w:r>
    </w:p>
    <w:p w:rsidR="00B14348" w:rsidRPr="00B14348" w:rsidRDefault="00692A7B" w:rsidP="00B14348">
      <w:pPr>
        <w:numPr>
          <w:ilvl w:val="1"/>
          <w:numId w:val="2"/>
        </w:numPr>
        <w:shd w:val="clear" w:color="auto" w:fill="FFFFFF"/>
        <w:overflowPunct/>
        <w:autoSpaceDE/>
        <w:autoSpaceDN/>
        <w:adjustRightInd/>
        <w:spacing w:line="315" w:lineRule="atLeast"/>
        <w:ind w:left="450"/>
        <w:textAlignment w:val="auto"/>
        <w:rPr>
          <w:rFonts w:ascii="Helvetica" w:hAnsi="Helvetica"/>
          <w:sz w:val="21"/>
          <w:szCs w:val="21"/>
          <w:lang w:val="ru-RU"/>
        </w:rPr>
      </w:pPr>
      <w:hyperlink r:id="rId16" w:history="1">
        <w:r w:rsidR="00B14348" w:rsidRPr="00B14348">
          <w:rPr>
            <w:rFonts w:ascii="Helvetica" w:hAnsi="Helvetica"/>
            <w:sz w:val="21"/>
            <w:szCs w:val="21"/>
            <w:u w:val="single"/>
            <w:lang w:val="ru-RU"/>
          </w:rPr>
          <w:t>Программное обеспечение рабочих мест диспетчера</w:t>
        </w:r>
      </w:hyperlink>
      <w:r w:rsidR="00B14348" w:rsidRPr="00B14348">
        <w:rPr>
          <w:rFonts w:ascii="Helvetica" w:hAnsi="Helvetica"/>
          <w:sz w:val="21"/>
          <w:szCs w:val="21"/>
          <w:lang w:val="ru-RU"/>
        </w:rPr>
        <w:t>.</w:t>
      </w:r>
    </w:p>
    <w:p w:rsidR="00B14348" w:rsidRPr="00B14348" w:rsidRDefault="00B14348" w:rsidP="00B14348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spacing w:after="75"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B14348">
        <w:rPr>
          <w:rFonts w:ascii="Helvetica" w:hAnsi="Helvetica"/>
          <w:sz w:val="21"/>
          <w:szCs w:val="21"/>
          <w:lang w:val="ru-RU"/>
        </w:rPr>
        <w:t>Аппаратура телемеханики:</w:t>
      </w:r>
    </w:p>
    <w:p w:rsidR="00B14348" w:rsidRPr="00B14348" w:rsidRDefault="00692A7B" w:rsidP="00B14348">
      <w:pPr>
        <w:numPr>
          <w:ilvl w:val="1"/>
          <w:numId w:val="2"/>
        </w:numPr>
        <w:shd w:val="clear" w:color="auto" w:fill="FFFFFF"/>
        <w:overflowPunct/>
        <w:autoSpaceDE/>
        <w:autoSpaceDN/>
        <w:adjustRightInd/>
        <w:spacing w:line="315" w:lineRule="atLeast"/>
        <w:ind w:left="450"/>
        <w:textAlignment w:val="auto"/>
        <w:rPr>
          <w:rFonts w:ascii="Helvetica" w:hAnsi="Helvetica"/>
          <w:sz w:val="21"/>
          <w:szCs w:val="21"/>
          <w:lang w:val="ru-RU"/>
        </w:rPr>
      </w:pPr>
      <w:hyperlink r:id="rId17" w:history="1">
        <w:r w:rsidR="00B14348" w:rsidRPr="00B14348">
          <w:rPr>
            <w:rFonts w:ascii="Helvetica" w:hAnsi="Helvetica"/>
            <w:sz w:val="21"/>
            <w:szCs w:val="21"/>
            <w:u w:val="single"/>
            <w:lang w:val="ru-RU"/>
          </w:rPr>
          <w:t>Устройство сбора и передачи информации (УСПИ) «Исеть 2»</w:t>
        </w:r>
      </w:hyperlink>
      <w:r w:rsidR="00B14348" w:rsidRPr="00B14348">
        <w:rPr>
          <w:rFonts w:ascii="Helvetica" w:hAnsi="Helvetica"/>
          <w:sz w:val="21"/>
          <w:szCs w:val="21"/>
          <w:lang w:val="ru-RU"/>
        </w:rPr>
        <w:t>,</w:t>
      </w:r>
    </w:p>
    <w:p w:rsidR="00B14348" w:rsidRPr="00B14348" w:rsidRDefault="00692A7B" w:rsidP="00B14348">
      <w:pPr>
        <w:numPr>
          <w:ilvl w:val="1"/>
          <w:numId w:val="2"/>
        </w:numPr>
        <w:shd w:val="clear" w:color="auto" w:fill="FFFFFF"/>
        <w:overflowPunct/>
        <w:autoSpaceDE/>
        <w:autoSpaceDN/>
        <w:adjustRightInd/>
        <w:spacing w:line="315" w:lineRule="atLeast"/>
        <w:ind w:left="450"/>
        <w:textAlignment w:val="auto"/>
        <w:rPr>
          <w:rFonts w:ascii="Helvetica" w:hAnsi="Helvetica"/>
          <w:sz w:val="21"/>
          <w:szCs w:val="21"/>
          <w:lang w:val="ru-RU"/>
        </w:rPr>
      </w:pPr>
      <w:hyperlink r:id="rId18" w:history="1">
        <w:r w:rsidR="00B14348" w:rsidRPr="00B14348">
          <w:rPr>
            <w:rFonts w:ascii="Helvetica" w:hAnsi="Helvetica"/>
            <w:sz w:val="21"/>
            <w:szCs w:val="21"/>
            <w:u w:val="single"/>
            <w:lang w:val="ru-RU"/>
          </w:rPr>
          <w:t>Коммуникационные контроллеры и средства связи</w:t>
        </w:r>
      </w:hyperlink>
      <w:r w:rsidR="00B14348" w:rsidRPr="00B14348">
        <w:rPr>
          <w:rFonts w:ascii="Helvetica" w:hAnsi="Helvetica"/>
          <w:sz w:val="21"/>
          <w:szCs w:val="21"/>
          <w:lang w:val="ru-RU"/>
        </w:rPr>
        <w:t>.</w:t>
      </w:r>
    </w:p>
    <w:p w:rsidR="00B14348" w:rsidRDefault="00B14348" w:rsidP="00B14348">
      <w:pPr>
        <w:pBdr>
          <w:bottom w:val="single" w:sz="6" w:space="1" w:color="E0E0E0"/>
        </w:pBdr>
        <w:shd w:val="clear" w:color="auto" w:fill="FFFFFF"/>
        <w:overflowPunct/>
        <w:autoSpaceDE/>
        <w:autoSpaceDN/>
        <w:adjustRightInd/>
        <w:spacing w:after="150"/>
        <w:textAlignment w:val="auto"/>
        <w:outlineLvl w:val="1"/>
        <w:rPr>
          <w:rFonts w:asciiTheme="minorHAnsi" w:hAnsiTheme="minorHAnsi"/>
          <w:sz w:val="36"/>
          <w:szCs w:val="36"/>
          <w:lang w:val="ru-RU"/>
        </w:rPr>
      </w:pPr>
    </w:p>
    <w:p w:rsidR="00B14348" w:rsidRPr="00B14348" w:rsidRDefault="00B14348" w:rsidP="00B14348">
      <w:pPr>
        <w:pBdr>
          <w:bottom w:val="single" w:sz="6" w:space="1" w:color="E0E0E0"/>
        </w:pBdr>
        <w:shd w:val="clear" w:color="auto" w:fill="FFFFFF"/>
        <w:overflowPunct/>
        <w:autoSpaceDE/>
        <w:autoSpaceDN/>
        <w:adjustRightInd/>
        <w:spacing w:after="150"/>
        <w:textAlignment w:val="auto"/>
        <w:outlineLvl w:val="1"/>
        <w:rPr>
          <w:rFonts w:ascii="Helvetica" w:hAnsi="Helvetica"/>
          <w:sz w:val="36"/>
          <w:szCs w:val="36"/>
          <w:lang w:val="ru-RU"/>
        </w:rPr>
      </w:pPr>
      <w:r w:rsidRPr="00B14348">
        <w:rPr>
          <w:rFonts w:ascii="Helvetica" w:hAnsi="Helvetica"/>
          <w:sz w:val="36"/>
          <w:szCs w:val="36"/>
          <w:lang w:val="ru-RU"/>
        </w:rPr>
        <w:t>Уровень объекта</w:t>
      </w:r>
    </w:p>
    <w:p w:rsidR="00B14348" w:rsidRPr="00B14348" w:rsidRDefault="00B14348" w:rsidP="00B14348">
      <w:pPr>
        <w:shd w:val="clear" w:color="auto" w:fill="FFFFFF"/>
        <w:overflowPunct/>
        <w:autoSpaceDE/>
        <w:autoSpaceDN/>
        <w:adjustRightInd/>
        <w:spacing w:after="150" w:line="315" w:lineRule="atLeast"/>
        <w:textAlignment w:val="auto"/>
        <w:rPr>
          <w:rFonts w:ascii="Helvetica" w:hAnsi="Helvetica"/>
          <w:color w:val="333333"/>
          <w:sz w:val="21"/>
          <w:szCs w:val="21"/>
          <w:lang w:val="ru-RU"/>
        </w:rPr>
      </w:pPr>
      <w:r w:rsidRPr="00B14348">
        <w:rPr>
          <w:rFonts w:ascii="Helvetica" w:hAnsi="Helvetica"/>
          <w:sz w:val="21"/>
          <w:szCs w:val="21"/>
          <w:lang w:val="ru-RU"/>
        </w:rPr>
        <w:t xml:space="preserve">Комплекс «ОИК Диспетчер» позволяет построить АСУТП подстанции, начиная от датчиков до рабочих </w:t>
      </w:r>
      <w:r w:rsidRPr="00B14348">
        <w:rPr>
          <w:rFonts w:ascii="Helvetica" w:hAnsi="Helvetica"/>
          <w:color w:val="333333"/>
          <w:sz w:val="21"/>
          <w:szCs w:val="21"/>
          <w:lang w:val="ru-RU"/>
        </w:rPr>
        <w:t>мест персонала, организуя при этом обмен данными с верхним уровнем.</w:t>
      </w:r>
    </w:p>
    <w:p w:rsidR="00B14348" w:rsidRDefault="00B14348" w:rsidP="00B14348">
      <w:pPr>
        <w:shd w:val="clear" w:color="auto" w:fill="FFFFFF"/>
        <w:overflowPunct/>
        <w:autoSpaceDE/>
        <w:autoSpaceDN/>
        <w:adjustRightInd/>
        <w:spacing w:after="150" w:line="315" w:lineRule="atLeast"/>
        <w:textAlignment w:val="auto"/>
        <w:rPr>
          <w:rFonts w:asciiTheme="minorHAnsi" w:hAnsiTheme="minorHAnsi"/>
          <w:color w:val="333333"/>
          <w:sz w:val="21"/>
          <w:szCs w:val="21"/>
          <w:lang w:val="ru-RU"/>
        </w:rPr>
      </w:pPr>
      <w:r w:rsidRPr="00B14348">
        <w:rPr>
          <w:rFonts w:ascii="Helvetica" w:hAnsi="Helvetica"/>
          <w:color w:val="333333"/>
          <w:sz w:val="21"/>
          <w:szCs w:val="21"/>
          <w:lang w:val="ru-RU"/>
        </w:rPr>
        <w:lastRenderedPageBreak/>
        <w:t>Пример структурной схемы комплекса на данном уровне приведен на рисунке. Для увеличения масштаба достаточно щелкнуть мышкой по рисунку.</w:t>
      </w:r>
    </w:p>
    <w:p w:rsidR="009542A0" w:rsidRPr="00B14348" w:rsidRDefault="009542A0" w:rsidP="00B14348">
      <w:pPr>
        <w:shd w:val="clear" w:color="auto" w:fill="FFFFFF"/>
        <w:overflowPunct/>
        <w:autoSpaceDE/>
        <w:autoSpaceDN/>
        <w:adjustRightInd/>
        <w:spacing w:after="150" w:line="315" w:lineRule="atLeast"/>
        <w:textAlignment w:val="auto"/>
        <w:rPr>
          <w:rFonts w:asciiTheme="minorHAnsi" w:hAnsiTheme="minorHAnsi"/>
          <w:color w:val="333333"/>
          <w:sz w:val="21"/>
          <w:szCs w:val="21"/>
          <w:lang w:val="ru-RU"/>
        </w:rPr>
      </w:pPr>
    </w:p>
    <w:p w:rsidR="00B14348" w:rsidRPr="00B14348" w:rsidRDefault="00B14348" w:rsidP="00B14348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ascii="Helvetica" w:hAnsi="Helvetica"/>
          <w:color w:val="333333"/>
          <w:sz w:val="21"/>
          <w:szCs w:val="21"/>
          <w:lang w:val="ru-RU"/>
        </w:rPr>
      </w:pPr>
      <w:r w:rsidRPr="00B14348">
        <w:rPr>
          <w:rFonts w:ascii="Helvetica" w:hAnsi="Helvetica"/>
          <w:noProof/>
          <w:color w:val="0288D1"/>
          <w:sz w:val="21"/>
          <w:szCs w:val="21"/>
          <w:lang w:val="ru-RU"/>
        </w:rPr>
        <w:drawing>
          <wp:inline distT="0" distB="0" distL="0" distR="0" wp14:anchorId="321881E3" wp14:editId="138E5068">
            <wp:extent cx="6667500" cy="4610100"/>
            <wp:effectExtent l="0" t="0" r="0" b="0"/>
            <wp:docPr id="1" name="Рисунок 1" descr="Структурная схема комплекса «ОИК Диспетчер» — объектовый уровень">
              <a:hlinkClick xmlns:a="http://schemas.openxmlformats.org/drawingml/2006/main" r:id="rId19" tooltip="&quot;Структурная схема комплекса «ОИК Диспетчер» — объектовый уровен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руктурная схема комплекса «ОИК Диспетчер» — объектовый уровень">
                      <a:hlinkClick r:id="rId19" tooltip="&quot;Структурная схема комплекса «ОИК Диспетчер» — объектовый уровен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348" w:rsidRPr="00B14348" w:rsidRDefault="00B14348" w:rsidP="00B14348">
      <w:pPr>
        <w:shd w:val="clear" w:color="auto" w:fill="FFFFFF"/>
        <w:overflowPunct/>
        <w:autoSpaceDE/>
        <w:autoSpaceDN/>
        <w:adjustRightInd/>
        <w:spacing w:before="150" w:line="270" w:lineRule="atLeast"/>
        <w:jc w:val="center"/>
        <w:textAlignment w:val="auto"/>
        <w:rPr>
          <w:rFonts w:ascii="Helvetica" w:hAnsi="Helvetica"/>
          <w:color w:val="333333"/>
          <w:sz w:val="18"/>
          <w:szCs w:val="18"/>
          <w:lang w:val="ru-RU"/>
        </w:rPr>
      </w:pPr>
      <w:r w:rsidRPr="00B14348">
        <w:rPr>
          <w:rFonts w:ascii="Helvetica" w:hAnsi="Helvetica"/>
          <w:color w:val="333333"/>
          <w:sz w:val="18"/>
          <w:szCs w:val="18"/>
          <w:lang w:val="ru-RU"/>
        </w:rPr>
        <w:t>Рисунок 1 — Структурная схема комплекса «ОИК Диспетчер» — объектовый уровень</w:t>
      </w:r>
    </w:p>
    <w:p w:rsidR="00B14348" w:rsidRPr="00B14348" w:rsidRDefault="00B14348" w:rsidP="00B14348">
      <w:pPr>
        <w:shd w:val="clear" w:color="auto" w:fill="FFFFFF"/>
        <w:overflowPunct/>
        <w:autoSpaceDE/>
        <w:autoSpaceDN/>
        <w:adjustRightInd/>
        <w:spacing w:after="150" w:line="315" w:lineRule="atLeast"/>
        <w:textAlignment w:val="auto"/>
        <w:rPr>
          <w:rFonts w:ascii="Helvetica" w:hAnsi="Helvetica"/>
          <w:sz w:val="21"/>
          <w:szCs w:val="21"/>
          <w:lang w:val="ru-RU"/>
        </w:rPr>
      </w:pPr>
      <w:r w:rsidRPr="00B14348">
        <w:rPr>
          <w:rFonts w:ascii="Helvetica" w:hAnsi="Helvetica"/>
          <w:sz w:val="21"/>
          <w:szCs w:val="21"/>
          <w:lang w:val="ru-RU"/>
        </w:rPr>
        <w:t>Комплекс может быть установлен как в полном объёме (УСПИ, АСУТП и диспетчерский щит), что подходит для крупных объектов, так и выборочно в любом объёме. Примерами частичного внедрения комплекса могут быть:</w:t>
      </w:r>
    </w:p>
    <w:p w:rsidR="00B14348" w:rsidRPr="00B14348" w:rsidRDefault="00B14348" w:rsidP="00B14348">
      <w:pPr>
        <w:numPr>
          <w:ilvl w:val="0"/>
          <w:numId w:val="3"/>
        </w:numPr>
        <w:shd w:val="clear" w:color="auto" w:fill="FFFFFF"/>
        <w:overflowPunct/>
        <w:autoSpaceDE/>
        <w:autoSpaceDN/>
        <w:adjustRightInd/>
        <w:spacing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B14348">
        <w:rPr>
          <w:rFonts w:ascii="Helvetica" w:hAnsi="Helvetica"/>
          <w:sz w:val="21"/>
          <w:szCs w:val="21"/>
          <w:lang w:val="ru-RU"/>
        </w:rPr>
        <w:t>Установка аппаратуры </w:t>
      </w:r>
      <w:hyperlink r:id="rId21" w:history="1">
        <w:r w:rsidRPr="00B14348">
          <w:rPr>
            <w:rFonts w:ascii="Helvetica" w:hAnsi="Helvetica"/>
            <w:sz w:val="21"/>
            <w:szCs w:val="21"/>
            <w:u w:val="single"/>
            <w:lang w:val="ru-RU"/>
          </w:rPr>
          <w:t>УСПИ «Исеть 2»</w:t>
        </w:r>
      </w:hyperlink>
      <w:r w:rsidRPr="00B14348">
        <w:rPr>
          <w:rFonts w:ascii="Helvetica" w:hAnsi="Helvetica"/>
          <w:sz w:val="21"/>
          <w:szCs w:val="21"/>
          <w:lang w:val="ru-RU"/>
        </w:rPr>
        <w:t>. УСПИ имеет блочно-модульную структуру, что позволяет создавать множество решений в зависимости от требований, предъявляемых к объекту.</w:t>
      </w:r>
    </w:p>
    <w:p w:rsidR="00B14348" w:rsidRPr="00B14348" w:rsidRDefault="00B14348" w:rsidP="00B14348">
      <w:pPr>
        <w:numPr>
          <w:ilvl w:val="0"/>
          <w:numId w:val="3"/>
        </w:numPr>
        <w:shd w:val="clear" w:color="auto" w:fill="FFFFFF"/>
        <w:overflowPunct/>
        <w:autoSpaceDE/>
        <w:autoSpaceDN/>
        <w:adjustRightInd/>
        <w:spacing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B14348">
        <w:rPr>
          <w:rFonts w:ascii="Helvetica" w:hAnsi="Helvetica"/>
          <w:sz w:val="21"/>
          <w:szCs w:val="21"/>
          <w:lang w:val="ru-RU"/>
        </w:rPr>
        <w:t>Установка </w:t>
      </w:r>
      <w:hyperlink r:id="rId22" w:history="1">
        <w:r w:rsidRPr="00B14348">
          <w:rPr>
            <w:rFonts w:ascii="Helvetica" w:hAnsi="Helvetica"/>
            <w:sz w:val="21"/>
            <w:szCs w:val="21"/>
            <w:u w:val="single"/>
            <w:lang w:val="ru-RU"/>
          </w:rPr>
          <w:t>сервера «ОИК Диспетчер НТ»</w:t>
        </w:r>
      </w:hyperlink>
      <w:r w:rsidRPr="00B14348">
        <w:rPr>
          <w:rFonts w:ascii="Helvetica" w:hAnsi="Helvetica"/>
          <w:sz w:val="21"/>
          <w:szCs w:val="21"/>
          <w:lang w:val="ru-RU"/>
        </w:rPr>
        <w:t>, позволяющего принимать, обрабатывать и передавать на верхний уровень данные от сторонних устройств (</w:t>
      </w:r>
      <w:hyperlink r:id="rId23" w:history="1">
        <w:r w:rsidRPr="00B14348">
          <w:rPr>
            <w:rFonts w:ascii="Helvetica" w:hAnsi="Helvetica"/>
            <w:sz w:val="21"/>
            <w:szCs w:val="21"/>
            <w:u w:val="single"/>
            <w:lang w:val="ru-RU"/>
          </w:rPr>
          <w:t>список поддерживаемых источников телеметрии</w:t>
        </w:r>
      </w:hyperlink>
      <w:r w:rsidRPr="00B14348">
        <w:rPr>
          <w:rFonts w:ascii="Helvetica" w:hAnsi="Helvetica"/>
          <w:sz w:val="21"/>
          <w:szCs w:val="21"/>
          <w:lang w:val="ru-RU"/>
        </w:rPr>
        <w:t>);</w:t>
      </w:r>
    </w:p>
    <w:p w:rsidR="00B14348" w:rsidRPr="00B14348" w:rsidRDefault="00B14348" w:rsidP="00B14348">
      <w:pPr>
        <w:numPr>
          <w:ilvl w:val="0"/>
          <w:numId w:val="3"/>
        </w:numPr>
        <w:shd w:val="clear" w:color="auto" w:fill="FFFFFF"/>
        <w:overflowPunct/>
        <w:autoSpaceDE/>
        <w:autoSpaceDN/>
        <w:adjustRightInd/>
        <w:spacing w:line="315" w:lineRule="atLeast"/>
        <w:ind w:left="225"/>
        <w:textAlignment w:val="auto"/>
        <w:rPr>
          <w:rFonts w:ascii="Helvetica" w:hAnsi="Helvetica"/>
          <w:sz w:val="21"/>
          <w:szCs w:val="21"/>
          <w:lang w:val="ru-RU"/>
        </w:rPr>
      </w:pPr>
      <w:r w:rsidRPr="00B14348">
        <w:rPr>
          <w:rFonts w:ascii="Helvetica" w:hAnsi="Helvetica"/>
          <w:sz w:val="21"/>
          <w:szCs w:val="21"/>
          <w:lang w:val="ru-RU"/>
        </w:rPr>
        <w:t>Использование на объекте </w:t>
      </w:r>
      <w:hyperlink r:id="rId24" w:history="1">
        <w:r w:rsidRPr="00B14348">
          <w:rPr>
            <w:rFonts w:ascii="Helvetica" w:hAnsi="Helvetica"/>
            <w:sz w:val="21"/>
            <w:szCs w:val="21"/>
            <w:u w:val="single"/>
            <w:lang w:val="ru-RU"/>
          </w:rPr>
          <w:t>коммуникационных контроллеров</w:t>
        </w:r>
      </w:hyperlink>
      <w:r w:rsidRPr="00B14348">
        <w:rPr>
          <w:rFonts w:ascii="Helvetica" w:hAnsi="Helvetica"/>
          <w:sz w:val="21"/>
          <w:szCs w:val="21"/>
          <w:lang w:val="ru-RU"/>
        </w:rPr>
        <w:t>, преобразующих информацию по различным каналам, позволяя связывать сторонние устройства с серверами;</w:t>
      </w:r>
    </w:p>
    <w:p w:rsidR="00B14348" w:rsidRPr="00B14348" w:rsidRDefault="00B14348" w:rsidP="00966B8F">
      <w:pPr>
        <w:pStyle w:val="Iauiue"/>
      </w:pPr>
    </w:p>
    <w:sectPr w:rsidR="00B14348" w:rsidRPr="00B14348" w:rsidSect="00EE2339">
      <w:footerReference w:type="default" r:id="rId25"/>
      <w:pgSz w:w="11907" w:h="16840" w:code="9"/>
      <w:pgMar w:top="567" w:right="567" w:bottom="426" w:left="1134" w:header="0" w:footer="442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A7B" w:rsidRDefault="00692A7B">
      <w:r>
        <w:separator/>
      </w:r>
    </w:p>
  </w:endnote>
  <w:endnote w:type="continuationSeparator" w:id="0">
    <w:p w:rsidR="00692A7B" w:rsidRDefault="0069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339" w:rsidRDefault="0097273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5DFC">
      <w:rPr>
        <w:noProof/>
      </w:rPr>
      <w:t>1</w:t>
    </w:r>
    <w:r>
      <w:fldChar w:fldCharType="end"/>
    </w:r>
  </w:p>
  <w:p w:rsidR="00EE2339" w:rsidRDefault="00692A7B" w:rsidP="002A4A82">
    <w:pPr>
      <w:pStyle w:val="Ieieeeieiioeoo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A7B" w:rsidRDefault="00692A7B">
      <w:r>
        <w:separator/>
      </w:r>
    </w:p>
  </w:footnote>
  <w:footnote w:type="continuationSeparator" w:id="0">
    <w:p w:rsidR="00692A7B" w:rsidRDefault="0069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E7DAB"/>
    <w:multiLevelType w:val="multilevel"/>
    <w:tmpl w:val="99CA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F95A7C"/>
    <w:multiLevelType w:val="multilevel"/>
    <w:tmpl w:val="1D1E6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F0F75"/>
    <w:multiLevelType w:val="multilevel"/>
    <w:tmpl w:val="41DE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98676B"/>
    <w:multiLevelType w:val="multilevel"/>
    <w:tmpl w:val="5EF6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65"/>
    <w:rsid w:val="00052A09"/>
    <w:rsid w:val="00056537"/>
    <w:rsid w:val="00060A93"/>
    <w:rsid w:val="000B5A20"/>
    <w:rsid w:val="001E75AE"/>
    <w:rsid w:val="00266965"/>
    <w:rsid w:val="002C670A"/>
    <w:rsid w:val="002E0A8F"/>
    <w:rsid w:val="003A56E2"/>
    <w:rsid w:val="00466D39"/>
    <w:rsid w:val="004B33BD"/>
    <w:rsid w:val="0063505B"/>
    <w:rsid w:val="00692A7B"/>
    <w:rsid w:val="00745C74"/>
    <w:rsid w:val="00790ED3"/>
    <w:rsid w:val="00833352"/>
    <w:rsid w:val="0089058E"/>
    <w:rsid w:val="008D7747"/>
    <w:rsid w:val="009542A0"/>
    <w:rsid w:val="00955DFC"/>
    <w:rsid w:val="00966B8F"/>
    <w:rsid w:val="00972734"/>
    <w:rsid w:val="009A5E55"/>
    <w:rsid w:val="00AD4F01"/>
    <w:rsid w:val="00AF373E"/>
    <w:rsid w:val="00B14348"/>
    <w:rsid w:val="00B214C4"/>
    <w:rsid w:val="00E044CF"/>
    <w:rsid w:val="00EC0270"/>
    <w:rsid w:val="00FB21AB"/>
    <w:rsid w:val="00F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14F60-38E7-4FD2-B580-2F551E3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9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542A0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val="ru-RU"/>
    </w:rPr>
  </w:style>
  <w:style w:type="paragraph" w:styleId="3">
    <w:name w:val="heading 3"/>
    <w:basedOn w:val="a"/>
    <w:link w:val="30"/>
    <w:uiPriority w:val="9"/>
    <w:qFormat/>
    <w:rsid w:val="009542A0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2669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Iauiue"/>
    <w:next w:val="Iauiue"/>
    <w:rsid w:val="00266965"/>
    <w:pPr>
      <w:keepNext/>
      <w:jc w:val="center"/>
    </w:pPr>
    <w:rPr>
      <w:rFonts w:ascii="Arial" w:hAnsi="Arial"/>
      <w:b/>
      <w:sz w:val="24"/>
    </w:rPr>
  </w:style>
  <w:style w:type="paragraph" w:customStyle="1" w:styleId="caaieiaie2">
    <w:name w:val="caaieiaie 2"/>
    <w:basedOn w:val="Iauiue"/>
    <w:next w:val="Iauiue"/>
    <w:rsid w:val="00266965"/>
    <w:pPr>
      <w:keepNext/>
      <w:jc w:val="center"/>
    </w:pPr>
    <w:rPr>
      <w:rFonts w:ascii="Arial" w:hAnsi="Arial"/>
      <w:sz w:val="24"/>
    </w:rPr>
  </w:style>
  <w:style w:type="paragraph" w:customStyle="1" w:styleId="caaieiaie6">
    <w:name w:val="caaieiaie 6"/>
    <w:basedOn w:val="Iauiue"/>
    <w:next w:val="Iauiue"/>
    <w:rsid w:val="00266965"/>
    <w:pPr>
      <w:keepNext/>
    </w:pPr>
    <w:rPr>
      <w:rFonts w:ascii="Arial" w:hAnsi="Arial"/>
      <w:sz w:val="24"/>
    </w:rPr>
  </w:style>
  <w:style w:type="paragraph" w:customStyle="1" w:styleId="caaieiaie7">
    <w:name w:val="caaieiaie 7"/>
    <w:basedOn w:val="Iauiue"/>
    <w:next w:val="Iauiue"/>
    <w:rsid w:val="00266965"/>
    <w:pPr>
      <w:keepNext/>
      <w:ind w:right="-1" w:firstLine="756"/>
      <w:jc w:val="center"/>
    </w:pPr>
    <w:rPr>
      <w:rFonts w:ascii="Arial" w:hAnsi="Arial"/>
      <w:b/>
      <w:sz w:val="24"/>
    </w:rPr>
  </w:style>
  <w:style w:type="paragraph" w:customStyle="1" w:styleId="Ieieeeieiioeooe">
    <w:name w:val="Ie?iee eieiioeooe"/>
    <w:basedOn w:val="Iauiue"/>
    <w:rsid w:val="00266965"/>
    <w:pPr>
      <w:tabs>
        <w:tab w:val="center" w:pos="4153"/>
        <w:tab w:val="right" w:pos="8306"/>
      </w:tabs>
    </w:pPr>
  </w:style>
  <w:style w:type="paragraph" w:customStyle="1" w:styleId="H4">
    <w:name w:val="H4"/>
    <w:basedOn w:val="Iauiue"/>
    <w:next w:val="Iauiue"/>
    <w:rsid w:val="00266965"/>
    <w:pPr>
      <w:keepNext/>
      <w:spacing w:before="100" w:after="100"/>
    </w:pPr>
    <w:rPr>
      <w:b/>
      <w:sz w:val="24"/>
    </w:rPr>
  </w:style>
  <w:style w:type="paragraph" w:styleId="a3">
    <w:name w:val="footer"/>
    <w:basedOn w:val="a"/>
    <w:link w:val="a4"/>
    <w:uiPriority w:val="99"/>
    <w:rsid w:val="002669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6696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954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4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9542A0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542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4982">
          <w:marLeft w:val="-225"/>
          <w:marRight w:val="-225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332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559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778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3895">
          <w:marLeft w:val="375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115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6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875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12198">
          <w:marLeft w:val="-225"/>
          <w:marRight w:val="-225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8047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33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29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face.ru/prod/oik/" TargetMode="External"/><Relationship Id="rId18" Type="http://schemas.openxmlformats.org/officeDocument/2006/relationships/hyperlink" Target="https://iface.ru/prod/comm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face.ru/prod/iset2/" TargetMode="External"/><Relationship Id="rId7" Type="http://schemas.openxmlformats.org/officeDocument/2006/relationships/hyperlink" Target="http://alektogroup.com/assets/images/resources/407/e855avs-854avs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iface.ru/prod/iset2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iface.ru/prod/oik/client/" TargetMode="External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face.ru/i/iset2/iset2-photo-wall.jpg" TargetMode="External"/><Relationship Id="rId24" Type="http://schemas.openxmlformats.org/officeDocument/2006/relationships/hyperlink" Target="https://iface.ru/prod/com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face.ru/prod/oik/server/" TargetMode="External"/><Relationship Id="rId23" Type="http://schemas.openxmlformats.org/officeDocument/2006/relationships/hyperlink" Target="https://iface.ru/prod/oik/server/telesources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iface.ru/i/prod/oikdisp-object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ektogroup.com/assets/images/resources/407/e842as.jpg" TargetMode="External"/><Relationship Id="rId14" Type="http://schemas.openxmlformats.org/officeDocument/2006/relationships/hyperlink" Target="https://iface.ru/prod/oik/" TargetMode="External"/><Relationship Id="rId22" Type="http://schemas.openxmlformats.org/officeDocument/2006/relationships/hyperlink" Target="https://iface.ru/prod/oik/server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Соколов</dc:creator>
  <cp:keywords/>
  <dc:description/>
  <cp:lastModifiedBy>Николай Соколов</cp:lastModifiedBy>
  <cp:revision>2</cp:revision>
  <dcterms:created xsi:type="dcterms:W3CDTF">2019-03-05T11:53:00Z</dcterms:created>
  <dcterms:modified xsi:type="dcterms:W3CDTF">2019-03-05T11:53:00Z</dcterms:modified>
</cp:coreProperties>
</file>